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750" w:rsidRPr="008A090A" w:rsidRDefault="008A090A">
      <w:pPr>
        <w:jc w:val="right"/>
        <w:rPr>
          <w:rFonts w:hint="eastAsia"/>
          <w:sz w:val="28"/>
        </w:rPr>
      </w:pPr>
      <w:r w:rsidRPr="008A090A">
        <w:rPr>
          <w:b/>
          <w:bCs/>
          <w:sz w:val="28"/>
        </w:rPr>
        <w:t>Фролова Е.В.</w:t>
      </w:r>
    </w:p>
    <w:p w:rsidR="00396750" w:rsidRPr="008A090A" w:rsidRDefault="008A090A">
      <w:pPr>
        <w:jc w:val="right"/>
        <w:rPr>
          <w:rFonts w:hint="eastAsia"/>
          <w:sz w:val="28"/>
        </w:rPr>
      </w:pPr>
      <w:r w:rsidRPr="008A090A">
        <w:rPr>
          <w:i/>
          <w:iCs/>
          <w:sz w:val="28"/>
        </w:rPr>
        <w:t>Нижний Новгород, ННГУ им. Лобачевского,</w:t>
      </w:r>
    </w:p>
    <w:p w:rsidR="00396750" w:rsidRPr="008A090A" w:rsidRDefault="008A090A">
      <w:pPr>
        <w:jc w:val="right"/>
        <w:rPr>
          <w:rFonts w:hint="eastAsia"/>
          <w:sz w:val="28"/>
        </w:rPr>
      </w:pPr>
      <w:r w:rsidRPr="008A090A">
        <w:rPr>
          <w:sz w:val="28"/>
        </w:rPr>
        <w:t xml:space="preserve"> </w:t>
      </w:r>
      <w:hyperlink r:id="rId5">
        <w:r w:rsidRPr="008A090A">
          <w:rPr>
            <w:rStyle w:val="-"/>
            <w:color w:val="auto"/>
            <w:sz w:val="28"/>
            <w:u w:val="none"/>
          </w:rPr>
          <w:t>evf@f5k.ru</w:t>
        </w:r>
      </w:hyperlink>
    </w:p>
    <w:p w:rsidR="00396750" w:rsidRDefault="00396750">
      <w:pPr>
        <w:jc w:val="center"/>
        <w:rPr>
          <w:rFonts w:hint="eastAsia"/>
        </w:rPr>
      </w:pPr>
    </w:p>
    <w:p w:rsidR="00396750" w:rsidRPr="008A090A" w:rsidRDefault="008A090A">
      <w:pPr>
        <w:ind w:firstLine="567"/>
        <w:jc w:val="center"/>
        <w:rPr>
          <w:rFonts w:hint="eastAsia"/>
          <w:sz w:val="26"/>
        </w:rPr>
      </w:pPr>
      <w:r w:rsidRPr="008A090A">
        <w:rPr>
          <w:rFonts w:ascii="Times New Roman" w:hAnsi="Times New Roman"/>
          <w:b/>
          <w:bCs/>
          <w:color w:val="00000A"/>
          <w:sz w:val="28"/>
        </w:rPr>
        <w:t>ЭМПИРИЧЕСКИЙ АНАЛИЗ УСПЕШНОСТИ ВЫПУСКНИКОВ ЭКОНОМИЧЕСКИХ СПЕЦИАЛЬНОСТЕЙ</w:t>
      </w:r>
    </w:p>
    <w:p w:rsidR="008A090A" w:rsidRDefault="008A090A">
      <w:pPr>
        <w:ind w:firstLine="8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Выпускники вузов, приходящие на рынок труда, сталкиваются  с несоответствием характеристик полученного ими образования и требований работодателей. Это создает трудности как вузам, так и работодателям, возникает проблема, которая требует четких, гибких и эффективных способов решения. Одним из таких способов может стать направленность системы высшего профессионального образования на развитие профессиональной успешности выпускников.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Именно профессиональная успешность выпускников поможет обеспечить приток эффективных работников, удовлетворенных своим трудом, на рынок труда. 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Целью работы является исследование понятия успешность выпускника, возможностей ее измерения и эмпирического анализа при помощи предложенного авторами интегрального показателя.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Понятие «успешность» изначально пришло из психологии, социологии и философии, однако единой трактовки у этого понятия нет.  Вопрос о критериях, факторах и механизмах достижения успешности является дискуссионным и открытым [1. С. 46; 15]. Это понятие рассматривалось в работах таких ученых, как А.Р.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Тугушева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[8. С. 8], </w:t>
      </w:r>
      <w:r>
        <w:rPr>
          <w:rFonts w:ascii="Times New Roman" w:hAnsi="Times New Roman" w:cs="Times New Roman"/>
          <w:sz w:val="28"/>
          <w:szCs w:val="28"/>
          <w:lang w:val="en-US"/>
        </w:rPr>
        <w:t>Fuse</w:t>
      </w:r>
      <w:r>
        <w:rPr>
          <w:rFonts w:ascii="Times New Roman" w:hAnsi="Times New Roman" w:cs="Times New Roman"/>
          <w:sz w:val="28"/>
          <w:szCs w:val="28"/>
        </w:rPr>
        <w:t xml:space="preserve"> [13],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Holdsworth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другие [14]. В работе Г.А.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Тульчинского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выделен</w:t>
      </w:r>
      <w:r w:rsidR="00933A34">
        <w:rPr>
          <w:rFonts w:ascii="Times New Roman" w:hAnsi="Times New Roman" w:cs="Times New Roman"/>
          <w:sz w:val="28"/>
          <w:szCs w:val="28"/>
        </w:rPr>
        <w:t xml:space="preserve">ы четыре основные формы успеха </w:t>
      </w:r>
      <w:r>
        <w:rPr>
          <w:rFonts w:ascii="Times New Roman" w:hAnsi="Times New Roman" w:cs="Times New Roman"/>
          <w:sz w:val="28"/>
          <w:szCs w:val="28"/>
        </w:rPr>
        <w:t xml:space="preserve">[9. С. 122]. Определение профессиональной успешности или успешности на рынке труда можно найти в работах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Геранюшкиной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Антоновой, 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[7.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. 93</w:t>
      </w:r>
      <w:proofErr w:type="gramStart"/>
      <w:r>
        <w:rPr>
          <w:rFonts w:ascii="Times New Roman" w:hAnsi="Times New Roman" w:cs="Times New Roman"/>
          <w:sz w:val="28"/>
          <w:szCs w:val="28"/>
        </w:rPr>
        <w:t>][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3. С. 34-35]. Связь успешности выпускника с его обучением в вузе исследовали </w:t>
      </w:r>
      <w:r>
        <w:rPr>
          <w:rFonts w:ascii="Times New Roman" w:hAnsi="Times New Roman" w:cs="Times New Roman"/>
          <w:sz w:val="28"/>
          <w:szCs w:val="28"/>
          <w:lang w:val="en-US"/>
        </w:rPr>
        <w:t>Pinto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Diogo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Ramalheira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[16].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проведя анализ научных источников, можно сформулировать следующее определение успешности специалиста на рынке труда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 w:rsidRPr="00933A34">
        <w:rPr>
          <w:rFonts w:ascii="Times New Roman" w:hAnsi="Times New Roman" w:cs="Times New Roman"/>
          <w:bCs/>
          <w:sz w:val="28"/>
          <w:szCs w:val="28"/>
        </w:rPr>
        <w:t>Успешность на рынке труда</w:t>
      </w:r>
      <w:r w:rsidR="00933A34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способность индивида трудоустроиться и осуществлять профессиональную деятельность, позволяющую полно и эффективно использовать полученные навыки, знания и умения, применять свои компетенции и получать значимые с точки зрения работодателя и общества результаты, подтвержденные достаточно высоким уровнем материального вознаграждения, а также внутреннее удовлетворение и высокую самооценку своей профессиональной деятельности, включая способность смены не </w:t>
      </w:r>
      <w:r>
        <w:rPr>
          <w:rFonts w:ascii="Times New Roman" w:hAnsi="Times New Roman" w:cs="Times New Roman"/>
          <w:sz w:val="28"/>
          <w:szCs w:val="28"/>
        </w:rPr>
        <w:lastRenderedPageBreak/>
        <w:t>удовлетворяющего этим критериям места работы на более предпочтительное.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Данное определение является наиболее полным и включает в себя необходимые критерии объективной и субъективной успешности.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В интегральный показатель успешности выпускника целесообразно включить косвенные показатели успешности – объективные (такие как должность, уровень заработной платы, приверженность данному рабочему месту) и субъективные (такие как удовлетворенность работой).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Итак, для формирования показателя успешности выпускника на рынке труда целесообразно использовать следующие частные показатели: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1) Разница между фактическим и ожидаемым уровнем заработной платы (рассчитывается относительное отклонение фактически получаемого уровня заработной платы и ожидаемого выпускником).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2) Уровень занимаемой должности (для учета уровня занимаемой должности целесообразно ввести шкалу от 1 до 5, каждое из значений которой соответствует уровню: 0 – стажер, 5 – руководитель)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3) Легкость нахождения работы (данный показатель рассчитывается с учетом оценки самими выпускниками того количества трудностей, с которыми они столкнулись при поиске работы.)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4) Наличие оплачиваемой работы на момент окончания вуза (отражается в виде бинарной переменной: 1 – если оплачиваемая работа на момент окончания вуза была, 0 – если ее не было.)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5) Удовлетворенность условиями работы, содержанием работы, заработной платой. (каждый из трех компонентов рассчитывается отдельно по 5-балльной шкале от 1 до 5 на основе собственных оценок выпускников.)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Далее перейдем к нормированию компонентов и определению их весов.</w:t>
      </w:r>
    </w:p>
    <w:p w:rsidR="00396750" w:rsidRPr="008A090A" w:rsidRDefault="008A090A" w:rsidP="008A090A">
      <w:pPr>
        <w:ind w:firstLine="709"/>
        <w:jc w:val="both"/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</w:pPr>
      <w:bookmarkStart w:id="1" w:name="__RefHeading___Toc13540_1643980173"/>
      <w:bookmarkEnd w:id="1"/>
      <w:r w:rsidRPr="008A090A"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Определение весов компонентов интегрального показателя</w:t>
      </w:r>
    </w:p>
    <w:p w:rsidR="00396750" w:rsidRDefault="008A090A" w:rsidP="008A090A">
      <w:pPr>
        <w:ind w:firstLine="709"/>
        <w:jc w:val="both"/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В первую очередь необходимо провести нормирование компонентов показателя устойчивости для приведения их к балльной шкале измерения. Для этого будем использовать 5-балльную шкалу. Перевод показателей в 5-балльную шкалу представлен в таблице 1.</w:t>
      </w:r>
    </w:p>
    <w:p w:rsidR="008A090A" w:rsidRDefault="008A090A" w:rsidP="008A090A">
      <w:pPr>
        <w:ind w:firstLine="709"/>
        <w:jc w:val="both"/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Остальные показатели изначально рассчитываются по 5-балльной шкале, поэтому перевод их не требуется.</w:t>
      </w:r>
    </w:p>
    <w:p w:rsidR="008A090A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Для определения весов компонентов используем метод анализа иерархий.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Для записи показателя введем следующие сокращения:</w:t>
      </w:r>
    </w:p>
    <w:p w:rsidR="008A090A" w:rsidRDefault="008A090A" w:rsidP="008A090A">
      <w:pPr>
        <w:pStyle w:val="a4"/>
        <w:spacing w:after="0" w:line="240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- успешность выпускника – УВ;</w:t>
      </w:r>
    </w:p>
    <w:p w:rsidR="008A090A" w:rsidRDefault="008A090A" w:rsidP="008A090A">
      <w:pPr>
        <w:pStyle w:val="a4"/>
        <w:spacing w:after="0" w:line="240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- уровень должности – Д;</w:t>
      </w:r>
    </w:p>
    <w:p w:rsidR="008A090A" w:rsidRDefault="008A090A" w:rsidP="008A090A">
      <w:pPr>
        <w:pStyle w:val="a4"/>
        <w:spacing w:after="0" w:line="240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- легкость нахождения работы – ЛНР;</w:t>
      </w:r>
    </w:p>
    <w:p w:rsidR="008A090A" w:rsidRDefault="008A090A" w:rsidP="008A090A">
      <w:pPr>
        <w:pStyle w:val="a4"/>
        <w:spacing w:after="0" w:line="240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- оплачиваемая работа на момент окончания вуза – ОР;</w:t>
      </w:r>
    </w:p>
    <w:p w:rsidR="008A090A" w:rsidRDefault="008A090A" w:rsidP="008A090A">
      <w:pPr>
        <w:pStyle w:val="a4"/>
        <w:spacing w:after="0" w:line="240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- разница фактической и ожидаемой зарплаты – РЗ;</w:t>
      </w:r>
    </w:p>
    <w:p w:rsidR="008A090A" w:rsidRDefault="008A090A" w:rsidP="008A090A">
      <w:pPr>
        <w:pStyle w:val="a4"/>
        <w:spacing w:after="0" w:line="240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- удовлетворенность заработной платой – УЗ;</w:t>
      </w:r>
    </w:p>
    <w:p w:rsidR="008A090A" w:rsidRDefault="008A090A" w:rsidP="008A090A">
      <w:pPr>
        <w:pStyle w:val="a4"/>
        <w:spacing w:after="0" w:line="240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lastRenderedPageBreak/>
        <w:t>- удовлетворенность содержанием работы – УС;</w:t>
      </w:r>
    </w:p>
    <w:p w:rsidR="008A090A" w:rsidRDefault="008A090A" w:rsidP="008A090A">
      <w:pPr>
        <w:pStyle w:val="a4"/>
        <w:spacing w:after="0" w:line="240" w:lineRule="auto"/>
        <w:ind w:firstLine="709"/>
        <w:jc w:val="both"/>
        <w:rPr>
          <w:rFonts w:hint="eastAsia"/>
        </w:rPr>
      </w:pPr>
      <w:bookmarkStart w:id="2" w:name="__DdeLink__35698_1643980173"/>
      <w:bookmarkEnd w:id="2"/>
      <w:r>
        <w:rPr>
          <w:rFonts w:ascii="Times New Roman" w:eastAsia="Calibri" w:hAnsi="Times New Roman"/>
          <w:color w:val="000000"/>
          <w:sz w:val="28"/>
          <w:szCs w:val="28"/>
        </w:rPr>
        <w:t>- удовлетворенность условиями работы – УУ.</w:t>
      </w:r>
    </w:p>
    <w:p w:rsidR="008A090A" w:rsidRPr="008A090A" w:rsidRDefault="008A090A" w:rsidP="008A090A">
      <w:pPr>
        <w:jc w:val="right"/>
        <w:rPr>
          <w:rFonts w:ascii="Times New Roman" w:eastAsiaTheme="minorHAnsi" w:hAnsi="Times New Roman" w:cs="Times New Roman"/>
          <w:iCs/>
          <w:color w:val="00000A"/>
          <w:kern w:val="0"/>
          <w:sz w:val="28"/>
          <w:lang w:eastAsia="en-US" w:bidi="ar-SA"/>
        </w:rPr>
      </w:pPr>
      <w:r w:rsidRPr="008A090A">
        <w:rPr>
          <w:rFonts w:ascii="Times New Roman" w:eastAsiaTheme="minorHAnsi" w:hAnsi="Times New Roman" w:cs="Times New Roman"/>
          <w:i/>
          <w:iCs/>
          <w:color w:val="00000A"/>
          <w:kern w:val="0"/>
          <w:sz w:val="32"/>
          <w:szCs w:val="28"/>
          <w:lang w:eastAsia="en-US" w:bidi="ar-SA"/>
        </w:rPr>
        <w:t xml:space="preserve">  </w:t>
      </w:r>
      <w:r w:rsidRPr="008A090A">
        <w:rPr>
          <w:rFonts w:ascii="Times New Roman" w:eastAsiaTheme="minorHAnsi" w:hAnsi="Times New Roman" w:cs="Times New Roman"/>
          <w:iCs/>
          <w:color w:val="00000A"/>
          <w:kern w:val="0"/>
          <w:sz w:val="28"/>
          <w:lang w:eastAsia="en-US" w:bidi="ar-SA"/>
        </w:rPr>
        <w:t>Таблица 1.</w:t>
      </w:r>
    </w:p>
    <w:p w:rsidR="00396750" w:rsidRPr="008A090A" w:rsidRDefault="008A090A" w:rsidP="008A090A">
      <w:pPr>
        <w:jc w:val="center"/>
        <w:rPr>
          <w:rFonts w:hint="eastAsia"/>
          <w:sz w:val="26"/>
        </w:rPr>
      </w:pPr>
      <w:r w:rsidRPr="008A090A">
        <w:rPr>
          <w:rFonts w:ascii="Times New Roman" w:eastAsiaTheme="minorHAnsi" w:hAnsi="Times New Roman" w:cs="Times New Roman"/>
          <w:iCs/>
          <w:color w:val="00000A"/>
          <w:kern w:val="0"/>
          <w:sz w:val="28"/>
          <w:lang w:eastAsia="en-US" w:bidi="ar-SA"/>
        </w:rPr>
        <w:t>Перевод компонентов показателя в 5-балльную шкалу</w:t>
      </w:r>
    </w:p>
    <w:tbl>
      <w:tblPr>
        <w:tblW w:w="9075" w:type="dxa"/>
        <w:jc w:val="center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6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8"/>
        <w:gridCol w:w="3118"/>
        <w:gridCol w:w="2839"/>
      </w:tblGrid>
      <w:tr w:rsidR="00396750">
        <w:trPr>
          <w:jc w:val="center"/>
        </w:trPr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eastAsiaTheme="minorHAnsi" w:hAnsi="Times New Roman" w:cs="Times New Roman"/>
                <w:b/>
                <w:iCs/>
                <w:color w:val="00000A"/>
                <w:kern w:val="0"/>
                <w:lang w:eastAsia="en-US" w:bidi="ar-SA"/>
              </w:rPr>
              <w:t xml:space="preserve">  </w:t>
            </w:r>
            <w:r>
              <w:rPr>
                <w:rFonts w:ascii="Times New Roman" w:hAnsi="Times New Roman"/>
                <w:b/>
              </w:rPr>
              <w:t>Показатель</w:t>
            </w:r>
          </w:p>
        </w:tc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Значение</w:t>
            </w:r>
          </w:p>
        </w:tc>
        <w:tc>
          <w:tcPr>
            <w:tcW w:w="2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Баллы</w:t>
            </w:r>
          </w:p>
        </w:tc>
      </w:tr>
      <w:tr w:rsidR="00396750">
        <w:trPr>
          <w:jc w:val="center"/>
        </w:trPr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rPr>
                <w:rFonts w:hint="eastAsia"/>
              </w:rPr>
            </w:pPr>
            <w:r>
              <w:rPr>
                <w:rFonts w:ascii="Times New Roman" w:hAnsi="Times New Roman"/>
              </w:rPr>
              <w:t>Разница фактического и ожидаемого уровня заработной платы</w:t>
            </w:r>
          </w:p>
        </w:tc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&lt;=0%</w:t>
            </w:r>
          </w:p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0&lt;значение&lt;=20%</w:t>
            </w:r>
          </w:p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20%&lt;значение&lt;=40%</w:t>
            </w:r>
          </w:p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40%&lt;значение&lt;=60%</w:t>
            </w:r>
          </w:p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60%&lt;значение&lt;=80%</w:t>
            </w:r>
          </w:p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80%&lt;значение</w:t>
            </w:r>
          </w:p>
        </w:tc>
        <w:tc>
          <w:tcPr>
            <w:tcW w:w="2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396750">
        <w:trPr>
          <w:jc w:val="center"/>
        </w:trPr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rPr>
                <w:rFonts w:hint="eastAsia"/>
              </w:rPr>
            </w:pPr>
            <w:r>
              <w:rPr>
                <w:rFonts w:ascii="Times New Roman" w:hAnsi="Times New Roman"/>
              </w:rPr>
              <w:t>Наличие оплачиваемой работы на момент окончания вуза</w:t>
            </w:r>
          </w:p>
        </w:tc>
        <w:tc>
          <w:tcPr>
            <w:tcW w:w="31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Есть</w:t>
            </w:r>
          </w:p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28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iCs/>
          <w:color w:val="00000A"/>
          <w:kern w:val="0"/>
          <w:lang w:eastAsia="en-US" w:bidi="ar-SA"/>
        </w:rPr>
        <w:t>Источник: составлено авторами.</w:t>
      </w:r>
    </w:p>
    <w:p w:rsidR="00396750" w:rsidRDefault="008A090A" w:rsidP="008A090A">
      <w:pPr>
        <w:pStyle w:val="a4"/>
        <w:spacing w:after="0" w:line="240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С использованием данных сокращений итоговая формула показателя будет выглядеть следующим образом:</w:t>
      </w:r>
    </w:p>
    <w:p w:rsidR="00396750" w:rsidRDefault="008A090A" w:rsidP="008A090A">
      <w:pPr>
        <w:pStyle w:val="a4"/>
        <w:spacing w:after="0" w:line="240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/>
          <w:i/>
          <w:iCs/>
          <w:color w:val="000000"/>
          <w:sz w:val="28"/>
          <w:szCs w:val="28"/>
        </w:rPr>
        <w:t>УВ=0,278Д+0,044ЛНР+0,038ОР+0,128РЗ+0,208УЗ+0,146УС+0,158УУ</w:t>
      </w:r>
    </w:p>
    <w:p w:rsidR="00396750" w:rsidRDefault="008A090A" w:rsidP="008A090A">
      <w:pPr>
        <w:pStyle w:val="a4"/>
        <w:spacing w:after="0" w:line="240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Данный показатель имеет размерность от 0 до 5.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bookmarkStart w:id="3" w:name="__RefHeading___Toc13691_1643980173"/>
      <w:bookmarkEnd w:id="3"/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Для расчета показателя используем данные мониторинга выпускников НИУ ВШЭ (Нижний Новгород) за 2014-2017 год (далее мониторинг). Так как успешность на рынке труда неразрывно связана с трудоустройством, будем рассматривать выпускников, которые на момент опроса трудоустроены, то есть имеют оплачиваемую работу.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Приведем пример расчета значений показателя за 2017 год.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 xml:space="preserve">Тогда были опрошены 72 выпускника, имеющие работу. Из них 33  окончили программы </w:t>
      </w:r>
      <w:proofErr w:type="spellStart"/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бакалавриата</w:t>
      </w:r>
      <w:proofErr w:type="spellEnd"/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, а 39 – магистерские программы.</w:t>
      </w:r>
    </w:p>
    <w:p w:rsidR="00396750" w:rsidRPr="008A090A" w:rsidRDefault="008A090A" w:rsidP="008A090A">
      <w:pPr>
        <w:ind w:firstLine="709"/>
        <w:jc w:val="both"/>
        <w:rPr>
          <w:rFonts w:hint="eastAsia"/>
          <w:lang w:val="en-US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 xml:space="preserve">Был произведен расчет интегрального показателя успешности и получены следующие результаты (см. табл. </w:t>
      </w:r>
      <w:r w:rsidRPr="008A090A"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val="en-US" w:eastAsia="en-US" w:bidi="ar-SA"/>
        </w:rPr>
        <w:t>2).</w:t>
      </w:r>
    </w:p>
    <w:p w:rsidR="008A090A" w:rsidRPr="008A090A" w:rsidRDefault="008A090A" w:rsidP="008A090A">
      <w:pPr>
        <w:jc w:val="right"/>
        <w:rPr>
          <w:rFonts w:ascii="Times New Roman" w:eastAsiaTheme="minorHAnsi" w:hAnsi="Times New Roman" w:cs="Times New Roman"/>
          <w:iCs/>
          <w:color w:val="00000A"/>
          <w:kern w:val="0"/>
          <w:sz w:val="28"/>
          <w:lang w:eastAsia="en-US" w:bidi="ar-SA"/>
        </w:rPr>
      </w:pPr>
      <w:r w:rsidRPr="008A090A">
        <w:rPr>
          <w:rFonts w:ascii="Times New Roman" w:eastAsiaTheme="minorHAnsi" w:hAnsi="Times New Roman" w:cs="Times New Roman"/>
          <w:iCs/>
          <w:color w:val="00000A"/>
          <w:kern w:val="0"/>
          <w:sz w:val="28"/>
          <w:lang w:eastAsia="en-US" w:bidi="ar-SA"/>
        </w:rPr>
        <w:t>Таблица</w:t>
      </w:r>
      <w:r w:rsidRPr="008A090A">
        <w:rPr>
          <w:rFonts w:ascii="Times New Roman" w:eastAsiaTheme="minorHAnsi" w:hAnsi="Times New Roman" w:cs="Times New Roman"/>
          <w:iCs/>
          <w:color w:val="00000A"/>
          <w:kern w:val="0"/>
          <w:sz w:val="28"/>
          <w:lang w:val="en-US" w:eastAsia="en-US" w:bidi="ar-SA"/>
        </w:rPr>
        <w:t xml:space="preserve"> 2. </w:t>
      </w:r>
    </w:p>
    <w:p w:rsidR="00396750" w:rsidRPr="008A090A" w:rsidRDefault="008A090A" w:rsidP="008A090A">
      <w:pPr>
        <w:jc w:val="center"/>
        <w:rPr>
          <w:rFonts w:hint="eastAsia"/>
          <w:sz w:val="26"/>
        </w:rPr>
      </w:pPr>
      <w:r w:rsidRPr="008A090A">
        <w:rPr>
          <w:rFonts w:ascii="Times New Roman" w:eastAsiaTheme="minorHAnsi" w:hAnsi="Times New Roman" w:cs="Times New Roman"/>
          <w:iCs/>
          <w:color w:val="00000A"/>
          <w:kern w:val="0"/>
          <w:sz w:val="28"/>
          <w:lang w:eastAsia="en-US" w:bidi="ar-SA"/>
        </w:rPr>
        <w:t>Статистика интегрального показателя успешности выпускников 2017 год</w:t>
      </w:r>
    </w:p>
    <w:tbl>
      <w:tblPr>
        <w:tblW w:w="907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6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71"/>
        <w:gridCol w:w="1871"/>
        <w:gridCol w:w="1871"/>
        <w:gridCol w:w="1872"/>
        <w:gridCol w:w="1590"/>
      </w:tblGrid>
      <w:tr w:rsidR="00396750"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Показатель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Минимальное значение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Максимальное значение</w:t>
            </w:r>
          </w:p>
        </w:tc>
        <w:tc>
          <w:tcPr>
            <w:tcW w:w="18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Среднее значение</w:t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Дисперсия</w:t>
            </w:r>
          </w:p>
        </w:tc>
      </w:tr>
      <w:tr w:rsidR="00396750"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УВ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2,176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4,722</w:t>
            </w:r>
          </w:p>
        </w:tc>
        <w:tc>
          <w:tcPr>
            <w:tcW w:w="18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3,397</w:t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0,412</w:t>
            </w:r>
          </w:p>
        </w:tc>
      </w:tr>
      <w:tr w:rsidR="00396750"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УВБАК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2,224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4,400</w:t>
            </w:r>
          </w:p>
        </w:tc>
        <w:tc>
          <w:tcPr>
            <w:tcW w:w="18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3,329</w:t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0,349</w:t>
            </w:r>
          </w:p>
        </w:tc>
      </w:tr>
      <w:tr w:rsidR="00396750"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УВМАГ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2,176</w:t>
            </w:r>
          </w:p>
        </w:tc>
        <w:tc>
          <w:tcPr>
            <w:tcW w:w="18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4,722</w:t>
            </w:r>
          </w:p>
        </w:tc>
        <w:tc>
          <w:tcPr>
            <w:tcW w:w="18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3,454</w:t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6" w:type="dxa"/>
            </w:tcMar>
          </w:tcPr>
          <w:p w:rsidR="00396750" w:rsidRDefault="008A090A">
            <w:pPr>
              <w:pStyle w:val="a9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0,469</w:t>
            </w:r>
          </w:p>
        </w:tc>
      </w:tr>
    </w:tbl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iCs/>
          <w:color w:val="00000A"/>
          <w:kern w:val="0"/>
          <w:lang w:eastAsia="en-US" w:bidi="ar-SA"/>
        </w:rPr>
        <w:t>Источник: расчеты авторов на основе данных мониторинга.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 xml:space="preserve">Из таблицы 2 можно сделать вывод, что значения показателя для магистров остаются выше значений для выпускников </w:t>
      </w:r>
      <w:proofErr w:type="spellStart"/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бакалавриата</w:t>
      </w:r>
      <w:proofErr w:type="spellEnd"/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 xml:space="preserve">. Можно сделать вывод о том, что окончание магистратуры создает больше предпосылок к успешности на рынке труда, чем диплом бакалавра. 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lastRenderedPageBreak/>
        <w:t>В данной статье авторами было проанализировано и уточнено понятие «успешность выпускника», выделены его характеристики и экономические эффекты. Был построен интегральный показатель успешности выпускника, веса компонентов которого были вычислены при помощи метода анализа иерархий. Данный показатель может быть подстроен под нужды исследователя, то есть веса компонентов в нем могут регулироваться в зависимости от того, какой компонент является для исследователя более важным на данном этапе.</w:t>
      </w:r>
    </w:p>
    <w:p w:rsidR="00396750" w:rsidRDefault="008A090A" w:rsidP="008A090A">
      <w:pPr>
        <w:ind w:firstLine="709"/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 xml:space="preserve">Были проведены расчеты этого показателя на основе данных мониторинга выпускников ВШЭ за 2014-2017 годы. Интегральный показатель был рассчитан отдельно для выпускников </w:t>
      </w:r>
      <w:proofErr w:type="spellStart"/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бакалавриата</w:t>
      </w:r>
      <w:proofErr w:type="spellEnd"/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 xml:space="preserve"> и магистратуры. Анализ различий показателя для выпускников </w:t>
      </w:r>
      <w:proofErr w:type="spellStart"/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бакалавриата</w:t>
      </w:r>
      <w:proofErr w:type="spellEnd"/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 xml:space="preserve"> и магистратуры показал, что для выпускников магистратуры значения показателя успешности в среднем выше, чем для выпускников </w:t>
      </w:r>
      <w:proofErr w:type="spellStart"/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бакалавриата</w:t>
      </w:r>
      <w:proofErr w:type="spellEnd"/>
      <w:r>
        <w:rPr>
          <w:rFonts w:ascii="Times New Roman" w:eastAsiaTheme="minorHAnsi" w:hAnsi="Times New Roman" w:cs="Times New Roman"/>
          <w:color w:val="00000A"/>
          <w:kern w:val="0"/>
          <w:sz w:val="28"/>
          <w:szCs w:val="28"/>
          <w:lang w:eastAsia="en-US" w:bidi="ar-SA"/>
        </w:rPr>
        <w:t>, на протяжении всего рассматриваемого периода.</w:t>
      </w:r>
    </w:p>
    <w:p w:rsidR="008A090A" w:rsidRDefault="008A090A">
      <w:pPr>
        <w:ind w:firstLine="850"/>
        <w:jc w:val="both"/>
        <w:rPr>
          <w:rFonts w:ascii="Times New Roman" w:eastAsiaTheme="minorHAnsi" w:hAnsi="Times New Roman" w:cs="Times New Roman"/>
          <w:b/>
          <w:bCs/>
          <w:color w:val="00000A"/>
          <w:kern w:val="0"/>
          <w:szCs w:val="28"/>
          <w:lang w:eastAsia="en-US" w:bidi="ar-SA"/>
        </w:rPr>
      </w:pPr>
    </w:p>
    <w:p w:rsidR="00396750" w:rsidRPr="008A090A" w:rsidRDefault="008A090A" w:rsidP="008A090A">
      <w:pPr>
        <w:ind w:firstLine="850"/>
        <w:jc w:val="center"/>
        <w:rPr>
          <w:rFonts w:hint="eastAsia"/>
          <w:i/>
          <w:sz w:val="22"/>
        </w:rPr>
      </w:pPr>
      <w:r w:rsidRPr="008A090A">
        <w:rPr>
          <w:rFonts w:ascii="Times New Roman" w:eastAsiaTheme="minorHAnsi" w:hAnsi="Times New Roman" w:cs="Times New Roman"/>
          <w:b/>
          <w:bCs/>
          <w:i/>
          <w:color w:val="00000A"/>
          <w:kern w:val="0"/>
          <w:szCs w:val="28"/>
          <w:lang w:eastAsia="en-US" w:bidi="ar-SA"/>
        </w:rPr>
        <w:t>Список использованной литературы:</w:t>
      </w:r>
    </w:p>
    <w:p w:rsidR="00396750" w:rsidRPr="008A090A" w:rsidRDefault="008A090A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hint="eastAsia"/>
          <w:sz w:val="26"/>
          <w:szCs w:val="28"/>
        </w:rPr>
      </w:pPr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Абдуллаева И.Д. Подходы в зарубежной психологии к изучению успешности жизнедеятельности человека // Современное образование (Узбекистан). – 2014. – №10. – С. 46-49. </w:t>
      </w:r>
    </w:p>
    <w:p w:rsidR="00396750" w:rsidRPr="008A090A" w:rsidRDefault="008A090A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hint="eastAsia"/>
          <w:sz w:val="26"/>
          <w:szCs w:val="28"/>
        </w:rPr>
      </w:pPr>
      <w:proofErr w:type="spellStart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Веряскина</w:t>
      </w:r>
      <w:proofErr w:type="spellEnd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 И.А. Формирование лидерских качеств учащейся молодежи как основная составляющая их профессиональной успешности // Вестник Тамбовского университета. – 2008. –  №12. – С. 97-100. </w:t>
      </w:r>
    </w:p>
    <w:p w:rsidR="00396750" w:rsidRPr="008A090A" w:rsidRDefault="008A090A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hint="eastAsia"/>
          <w:sz w:val="26"/>
          <w:szCs w:val="28"/>
        </w:rPr>
      </w:pPr>
      <w:proofErr w:type="spellStart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Геранюшкина</w:t>
      </w:r>
      <w:proofErr w:type="spellEnd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 Г.П., Антонова М.В. Рефлексия как детерминанта успешности // Психология в экономике и управлении. –  2017. – №1. – С. 34-41.</w:t>
      </w:r>
    </w:p>
    <w:p w:rsidR="00396750" w:rsidRPr="008A090A" w:rsidRDefault="008A090A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hint="eastAsia"/>
          <w:sz w:val="26"/>
          <w:szCs w:val="28"/>
        </w:rPr>
      </w:pPr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Глущенко М.Е., </w:t>
      </w:r>
      <w:proofErr w:type="spellStart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Нарежнева</w:t>
      </w:r>
      <w:proofErr w:type="spellEnd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 О.В. Методический подход к формированию системы показателей эффективности менеджмента // Вестник Омского университета. Серия: Экономика. – 2011. – №3. – С. 29-34.</w:t>
      </w:r>
    </w:p>
    <w:p w:rsidR="00396750" w:rsidRPr="008A090A" w:rsidRDefault="008A090A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hint="eastAsia"/>
          <w:sz w:val="26"/>
          <w:szCs w:val="28"/>
        </w:rPr>
      </w:pPr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Голубева Н.А. Успешность профессиональной деятельности и удовлетворенность трудом социального работника // Вестник Костромского государственного университета. Серия: Педагогика. Психология. </w:t>
      </w:r>
      <w:proofErr w:type="spellStart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Социокинетика</w:t>
      </w:r>
      <w:proofErr w:type="spellEnd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. – 2011. – №4. – С. 244-248.</w:t>
      </w:r>
    </w:p>
    <w:p w:rsidR="00396750" w:rsidRPr="008A090A" w:rsidRDefault="008A090A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hint="eastAsia"/>
          <w:sz w:val="26"/>
          <w:szCs w:val="28"/>
        </w:rPr>
      </w:pPr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Елизаров А.Н., </w:t>
      </w:r>
      <w:proofErr w:type="spellStart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Болдинова</w:t>
      </w:r>
      <w:proofErr w:type="spellEnd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 М.Н. Социальные и психологические критерии успешности деятельности как проблема позитивной психологии // Педагогика и психология образования. – 2013. – №3. – С. 95-106.</w:t>
      </w:r>
    </w:p>
    <w:p w:rsidR="00396750" w:rsidRPr="008A090A" w:rsidRDefault="008A090A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hint="eastAsia"/>
          <w:sz w:val="26"/>
          <w:szCs w:val="28"/>
        </w:rPr>
      </w:pPr>
      <w:proofErr w:type="spellStart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Теплинских</w:t>
      </w:r>
      <w:proofErr w:type="spellEnd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 М.В. Концептуальные подходы к проблеме определения успешности профессиональной деятельности специалистов социальной сферы // Сибирский психологический журнал. – 2007. – № 25. – </w:t>
      </w:r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val="en-US" w:eastAsia="en-US" w:bidi="ar-SA"/>
        </w:rPr>
        <w:t>C</w:t>
      </w:r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. 92-97.</w:t>
      </w:r>
    </w:p>
    <w:p w:rsidR="00396750" w:rsidRPr="008A090A" w:rsidRDefault="008A090A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hint="eastAsia"/>
          <w:sz w:val="26"/>
          <w:szCs w:val="28"/>
        </w:rPr>
      </w:pPr>
      <w:proofErr w:type="spellStart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Тугушева</w:t>
      </w:r>
      <w:proofErr w:type="spellEnd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 А.Р. Представления о социальной успешности и личностное самоопределение юношества: </w:t>
      </w:r>
      <w:proofErr w:type="spellStart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автореф</w:t>
      </w:r>
      <w:proofErr w:type="spellEnd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. </w:t>
      </w:r>
      <w:proofErr w:type="spellStart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дис</w:t>
      </w:r>
      <w:proofErr w:type="spellEnd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. … канд. психол. наук. – Самара, 2007.</w:t>
      </w:r>
    </w:p>
    <w:p w:rsidR="00396750" w:rsidRPr="008A090A" w:rsidRDefault="008A090A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hint="eastAsia"/>
          <w:sz w:val="26"/>
          <w:szCs w:val="28"/>
        </w:rPr>
      </w:pPr>
      <w:proofErr w:type="spellStart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Тульчинский</w:t>
      </w:r>
      <w:proofErr w:type="spellEnd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 Г.Л. Разум, воля, успех. О философии поступка. – Л., 1990. </w:t>
      </w:r>
    </w:p>
    <w:p w:rsidR="00396750" w:rsidRPr="008A090A" w:rsidRDefault="008A090A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hint="eastAsia"/>
          <w:sz w:val="26"/>
          <w:szCs w:val="28"/>
        </w:rPr>
      </w:pPr>
      <w:proofErr w:type="spellStart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Финогенко</w:t>
      </w:r>
      <w:proofErr w:type="spellEnd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 И.А., </w:t>
      </w:r>
      <w:proofErr w:type="spellStart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Дьякович</w:t>
      </w:r>
      <w:proofErr w:type="spellEnd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 М.П. Метод анализа иерархий и построение интегральных показателей сложных систем // Вестник российских университетов. </w:t>
      </w:r>
      <w:proofErr w:type="spellStart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val="en-US" w:eastAsia="en-US" w:bidi="ar-SA"/>
        </w:rPr>
        <w:t>Математика</w:t>
      </w:r>
      <w:proofErr w:type="spellEnd"/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val="en-US" w:eastAsia="en-US" w:bidi="ar-SA"/>
        </w:rPr>
        <w:t>. – 2017.</w:t>
      </w:r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 –</w:t>
      </w:r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val="en-US" w:eastAsia="en-US" w:bidi="ar-SA"/>
        </w:rPr>
        <w:t xml:space="preserve"> №</w:t>
      </w:r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 </w:t>
      </w:r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val="en-US" w:eastAsia="en-US" w:bidi="ar-SA"/>
        </w:rPr>
        <w:t>6-1.</w:t>
      </w:r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 xml:space="preserve"> –</w:t>
      </w:r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val="en-US" w:eastAsia="en-US" w:bidi="ar-SA"/>
        </w:rPr>
        <w:t xml:space="preserve"> С.1335-1340</w:t>
      </w:r>
      <w:r w:rsidRPr="008A090A">
        <w:rPr>
          <w:rFonts w:ascii="Times New Roman" w:eastAsiaTheme="minorHAnsi" w:hAnsi="Times New Roman" w:cs="Times New Roman"/>
          <w:color w:val="00000A"/>
          <w:kern w:val="0"/>
          <w:szCs w:val="28"/>
          <w:lang w:eastAsia="en-US" w:bidi="ar-SA"/>
        </w:rPr>
        <w:t>.</w:t>
      </w:r>
    </w:p>
    <w:p w:rsidR="00396750" w:rsidRPr="008A090A" w:rsidRDefault="008A090A">
      <w:pPr>
        <w:pStyle w:val="western"/>
        <w:numPr>
          <w:ilvl w:val="0"/>
          <w:numId w:val="1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sz w:val="24"/>
          <w:szCs w:val="28"/>
          <w:lang w:val="en-US"/>
        </w:rPr>
      </w:pPr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Bauman A., Lucy C. Enhancing entrepreneurial education: Developing competencies for success //</w:t>
      </w:r>
      <w:bookmarkStart w:id="4" w:name="publication-title4"/>
      <w:bookmarkEnd w:id="4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The International Journal of Management Education, 28 March 2019, 100293</w:t>
      </w:r>
    </w:p>
    <w:p w:rsidR="00396750" w:rsidRPr="008A090A" w:rsidRDefault="008A090A">
      <w:pPr>
        <w:pStyle w:val="western"/>
        <w:numPr>
          <w:ilvl w:val="0"/>
          <w:numId w:val="1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sz w:val="24"/>
          <w:szCs w:val="28"/>
          <w:lang w:val="en-US"/>
        </w:rPr>
      </w:pPr>
      <w:r w:rsidRPr="008A090A">
        <w:rPr>
          <w:rFonts w:eastAsiaTheme="minorHAnsi"/>
          <w:color w:val="00000A"/>
          <w:kern w:val="0"/>
          <w:sz w:val="24"/>
          <w:szCs w:val="28"/>
          <w:lang w:val="en-US" w:eastAsia="en-US" w:bidi="ar-SA"/>
        </w:rPr>
        <w:lastRenderedPageBreak/>
        <w:t xml:space="preserve">Fong C.J., Dillard J.B., Hatcher M. Teaching self-efficacy of graduate student instructors: Exploring faculty motivation, perceptions of autonomy support, and undergraduate student engagement // </w:t>
      </w:r>
      <w:bookmarkStart w:id="5" w:name="publication-title1"/>
      <w:bookmarkEnd w:id="5"/>
      <w:r w:rsidRPr="008A090A">
        <w:rPr>
          <w:rFonts w:eastAsiaTheme="minorHAnsi"/>
          <w:color w:val="505050"/>
          <w:kern w:val="0"/>
          <w:sz w:val="24"/>
          <w:szCs w:val="28"/>
          <w:lang w:val="en-US" w:eastAsia="en-US" w:bidi="ar-SA"/>
        </w:rPr>
        <w:t>In</w:t>
      </w:r>
      <w:r w:rsidRPr="008A090A">
        <w:rPr>
          <w:rFonts w:eastAsiaTheme="minorHAnsi"/>
          <w:color w:val="00000A"/>
          <w:kern w:val="0"/>
          <w:sz w:val="24"/>
          <w:szCs w:val="28"/>
          <w:lang w:val="en-US" w:eastAsia="en-US" w:bidi="ar-SA"/>
        </w:rPr>
        <w:t>ternational Journal of Educational Research, Volume 98, 2019, Pages 91-105</w:t>
      </w:r>
    </w:p>
    <w:p w:rsidR="00396750" w:rsidRPr="008A090A" w:rsidRDefault="008A090A">
      <w:pPr>
        <w:pStyle w:val="western"/>
        <w:numPr>
          <w:ilvl w:val="0"/>
          <w:numId w:val="1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sz w:val="24"/>
          <w:szCs w:val="28"/>
          <w:lang w:val="en-US"/>
        </w:rPr>
      </w:pPr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Fuse A. Needs of students seeking careers in communication sciences and disorders and barriers to their success// </w:t>
      </w:r>
      <w:bookmarkStart w:id="6" w:name="publication-title3"/>
      <w:bookmarkEnd w:id="6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Journal of Communication Disorders</w:t>
      </w:r>
      <w:r w:rsidRPr="008A090A">
        <w:rPr>
          <w:rFonts w:eastAsiaTheme="minorHAnsi"/>
          <w:kern w:val="0"/>
          <w:sz w:val="24"/>
          <w:szCs w:val="28"/>
          <w:u w:val="single"/>
          <w:lang w:val="en-US" w:eastAsia="en-US" w:bidi="ar-SA"/>
        </w:rPr>
        <w:t xml:space="preserve">, </w:t>
      </w:r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Volume 72, March–April 2018, Pages 40-53</w:t>
      </w:r>
    </w:p>
    <w:p w:rsidR="00396750" w:rsidRPr="008A090A" w:rsidRDefault="008A090A">
      <w:pPr>
        <w:pStyle w:val="western"/>
        <w:numPr>
          <w:ilvl w:val="0"/>
          <w:numId w:val="1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sz w:val="18"/>
          <w:lang w:val="en-US"/>
        </w:rPr>
      </w:pPr>
      <w:proofErr w:type="spellStart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Holdsworth</w:t>
      </w:r>
      <w:proofErr w:type="spellEnd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 S.</w:t>
      </w:r>
      <w:proofErr w:type="gramStart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,  Sandri</w:t>
      </w:r>
      <w:proofErr w:type="gramEnd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 O.,  Thomas I.,  Wong P.,  Chester A., McLaughlin P. The assessment of graduate sustainability attributes in the workplace: Potential advantages of using the theory of planned </w:t>
      </w:r>
      <w:proofErr w:type="spellStart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behaviour</w:t>
      </w:r>
      <w:proofErr w:type="spellEnd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 (TPB)// </w:t>
      </w:r>
      <w:bookmarkStart w:id="7" w:name="publication-title2"/>
      <w:bookmarkEnd w:id="7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Journal of Cleaner Production, </w:t>
      </w:r>
      <w:hyperlink r:id="rId6">
        <w:r w:rsidRPr="008A090A">
          <w:rPr>
            <w:rStyle w:val="-"/>
            <w:rFonts w:eastAsiaTheme="minorHAnsi"/>
            <w:color w:val="000000"/>
            <w:kern w:val="0"/>
            <w:sz w:val="24"/>
            <w:szCs w:val="28"/>
            <w:u w:val="none"/>
            <w:lang w:val="en-US" w:eastAsia="en-US" w:bidi="ar-SA"/>
          </w:rPr>
          <w:t>Volume 238</w:t>
        </w:r>
      </w:hyperlink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, 20 November 2019, 117929</w:t>
      </w:r>
    </w:p>
    <w:p w:rsidR="00396750" w:rsidRPr="008A090A" w:rsidRDefault="008A090A">
      <w:pPr>
        <w:pStyle w:val="western"/>
        <w:numPr>
          <w:ilvl w:val="0"/>
          <w:numId w:val="1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sz w:val="24"/>
          <w:szCs w:val="28"/>
          <w:lang w:val="en-US"/>
        </w:rPr>
      </w:pPr>
      <w:bookmarkStart w:id="8" w:name="screen-reader-main-title"/>
      <w:bookmarkEnd w:id="8"/>
      <w:r w:rsidRPr="008A090A">
        <w:rPr>
          <w:rFonts w:eastAsiaTheme="minorHAnsi"/>
          <w:color w:val="00000A"/>
          <w:kern w:val="0"/>
          <w:sz w:val="24"/>
          <w:szCs w:val="28"/>
          <w:lang w:val="en-US" w:eastAsia="en-US" w:bidi="ar-SA"/>
        </w:rPr>
        <w:t xml:space="preserve">Pan J., Guan Y., Wu J., Han L., Zhu F., Fu X., Yu J. The interplay of proactive personality and internship quality in Chinese university graduates' job search success: The role of career adaptability// </w:t>
      </w:r>
      <w:bookmarkStart w:id="9" w:name="publication-title"/>
      <w:bookmarkEnd w:id="9"/>
      <w:r w:rsidRPr="008A090A">
        <w:rPr>
          <w:rFonts w:eastAsiaTheme="minorHAnsi"/>
          <w:color w:val="00000A"/>
          <w:kern w:val="0"/>
          <w:sz w:val="24"/>
          <w:szCs w:val="28"/>
          <w:lang w:val="en-US" w:eastAsia="en-US" w:bidi="ar-SA"/>
        </w:rPr>
        <w:t>Journal of Vocational Behavior, Volume 109, December 2018, Pages 14-26</w:t>
      </w:r>
    </w:p>
    <w:p w:rsidR="00396750" w:rsidRPr="008A090A" w:rsidRDefault="008A090A">
      <w:pPr>
        <w:pStyle w:val="western"/>
        <w:numPr>
          <w:ilvl w:val="0"/>
          <w:numId w:val="1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sz w:val="24"/>
          <w:szCs w:val="28"/>
        </w:rPr>
      </w:pPr>
      <w:r w:rsidRPr="008A090A">
        <w:rPr>
          <w:rFonts w:eastAsiaTheme="minorHAnsi"/>
          <w:color w:val="00000A"/>
          <w:kern w:val="0"/>
          <w:sz w:val="24"/>
          <w:szCs w:val="28"/>
          <w:lang w:val="en-US" w:eastAsia="en-US" w:bidi="ar-SA"/>
        </w:rPr>
        <w:t>Pinto-</w:t>
      </w:r>
      <w:proofErr w:type="spellStart"/>
      <w:r w:rsidRPr="008A090A">
        <w:rPr>
          <w:rFonts w:eastAsiaTheme="minorHAnsi"/>
          <w:color w:val="00000A"/>
          <w:kern w:val="0"/>
          <w:sz w:val="24"/>
          <w:szCs w:val="28"/>
          <w:lang w:val="en-US" w:eastAsia="en-US" w:bidi="ar-SA"/>
        </w:rPr>
        <w:t>Diogo</w:t>
      </w:r>
      <w:proofErr w:type="spellEnd"/>
      <w:r w:rsidRPr="008A090A">
        <w:rPr>
          <w:rFonts w:eastAsiaTheme="minorHAnsi"/>
          <w:color w:val="00000A"/>
          <w:kern w:val="0"/>
          <w:sz w:val="24"/>
          <w:szCs w:val="28"/>
          <w:lang w:val="en-US" w:eastAsia="en-US" w:bidi="ar-SA"/>
        </w:rPr>
        <w:t xml:space="preserve"> L.H., </w:t>
      </w:r>
      <w:proofErr w:type="spellStart"/>
      <w:r w:rsidRPr="008A090A">
        <w:rPr>
          <w:rFonts w:eastAsiaTheme="minorHAnsi"/>
          <w:color w:val="00000A"/>
          <w:kern w:val="0"/>
          <w:sz w:val="24"/>
          <w:szCs w:val="28"/>
          <w:lang w:val="en-US" w:eastAsia="en-US" w:bidi="ar-SA"/>
        </w:rPr>
        <w:t>Ramalheira</w:t>
      </w:r>
      <w:proofErr w:type="spellEnd"/>
      <w:r w:rsidRPr="008A090A">
        <w:rPr>
          <w:rFonts w:eastAsiaTheme="minorHAnsi"/>
          <w:color w:val="00000A"/>
          <w:kern w:val="0"/>
          <w:sz w:val="24"/>
          <w:szCs w:val="28"/>
          <w:lang w:val="en-US" w:eastAsia="en-US" w:bidi="ar-SA"/>
        </w:rPr>
        <w:t xml:space="preserve"> C. Perceived employability of business graduates. The effect of academic performance and extracurricular activities. / Journal of vocational </w:t>
      </w:r>
      <w:proofErr w:type="spellStart"/>
      <w:r w:rsidRPr="008A090A">
        <w:rPr>
          <w:rFonts w:eastAsiaTheme="minorHAnsi"/>
          <w:color w:val="00000A"/>
          <w:kern w:val="0"/>
          <w:sz w:val="24"/>
          <w:szCs w:val="28"/>
          <w:lang w:val="en-US" w:eastAsia="en-US" w:bidi="ar-SA"/>
        </w:rPr>
        <w:t>behaviour</w:t>
      </w:r>
      <w:proofErr w:type="spellEnd"/>
      <w:r w:rsidRPr="008A090A">
        <w:rPr>
          <w:rFonts w:eastAsiaTheme="minorHAnsi"/>
          <w:color w:val="00000A"/>
          <w:kern w:val="0"/>
          <w:sz w:val="24"/>
          <w:szCs w:val="28"/>
          <w:lang w:val="en-US" w:eastAsia="en-US" w:bidi="ar-SA"/>
        </w:rPr>
        <w:t xml:space="preserve">, Vol.99, April 2017. </w:t>
      </w:r>
      <w:r w:rsidRPr="008A090A">
        <w:rPr>
          <w:rFonts w:eastAsiaTheme="minorHAnsi"/>
          <w:color w:val="00000A"/>
          <w:kern w:val="0"/>
          <w:sz w:val="24"/>
          <w:szCs w:val="28"/>
          <w:lang w:eastAsia="en-US" w:bidi="ar-SA"/>
        </w:rPr>
        <w:t>PP. 165-178. doi:10.1016/j.jvb.2017.01.005</w:t>
      </w:r>
    </w:p>
    <w:p w:rsidR="00396750" w:rsidRPr="008A090A" w:rsidRDefault="008A090A">
      <w:pPr>
        <w:pStyle w:val="western"/>
        <w:numPr>
          <w:ilvl w:val="0"/>
          <w:numId w:val="1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sz w:val="24"/>
          <w:szCs w:val="28"/>
        </w:rPr>
      </w:pPr>
      <w:proofErr w:type="spellStart"/>
      <w:r w:rsidRPr="008A090A">
        <w:rPr>
          <w:rFonts w:eastAsiaTheme="minorHAnsi"/>
          <w:color w:val="00000A"/>
          <w:kern w:val="0"/>
          <w:sz w:val="24"/>
          <w:szCs w:val="28"/>
          <w:lang w:val="en-US" w:eastAsia="en-US" w:bidi="ar-SA"/>
        </w:rPr>
        <w:t>Suleman</w:t>
      </w:r>
      <w:proofErr w:type="spellEnd"/>
      <w:r w:rsidRPr="008A090A">
        <w:rPr>
          <w:rFonts w:eastAsiaTheme="minorHAnsi"/>
          <w:color w:val="00000A"/>
          <w:kern w:val="0"/>
          <w:sz w:val="24"/>
          <w:szCs w:val="28"/>
          <w:lang w:val="en-US" w:eastAsia="en-US" w:bidi="ar-SA"/>
        </w:rPr>
        <w:t xml:space="preserve"> F. (2016) Employability skills of higher education graduates: Little consensus on a much-discussed subject. </w:t>
      </w:r>
      <w:proofErr w:type="spellStart"/>
      <w:r w:rsidRPr="008A090A">
        <w:rPr>
          <w:rFonts w:eastAsiaTheme="minorHAnsi"/>
          <w:color w:val="00000A"/>
          <w:kern w:val="0"/>
          <w:sz w:val="24"/>
          <w:szCs w:val="28"/>
          <w:lang w:eastAsia="en-US" w:bidi="ar-SA"/>
        </w:rPr>
        <w:t>Procedia</w:t>
      </w:r>
      <w:proofErr w:type="spellEnd"/>
      <w:r w:rsidRPr="008A090A">
        <w:rPr>
          <w:rFonts w:eastAsiaTheme="minorHAnsi"/>
          <w:color w:val="00000A"/>
          <w:kern w:val="0"/>
          <w:sz w:val="24"/>
          <w:szCs w:val="28"/>
          <w:lang w:eastAsia="en-US" w:bidi="ar-SA"/>
        </w:rPr>
        <w:t xml:space="preserve"> - </w:t>
      </w:r>
      <w:proofErr w:type="spellStart"/>
      <w:r w:rsidRPr="008A090A">
        <w:rPr>
          <w:rFonts w:eastAsiaTheme="minorHAnsi"/>
          <w:color w:val="00000A"/>
          <w:kern w:val="0"/>
          <w:sz w:val="24"/>
          <w:szCs w:val="28"/>
          <w:lang w:eastAsia="en-US" w:bidi="ar-SA"/>
        </w:rPr>
        <w:t>Social</w:t>
      </w:r>
      <w:proofErr w:type="spellEnd"/>
      <w:r w:rsidRPr="008A090A">
        <w:rPr>
          <w:rFonts w:eastAsiaTheme="minorHAnsi"/>
          <w:color w:val="00000A"/>
          <w:kern w:val="0"/>
          <w:sz w:val="24"/>
          <w:szCs w:val="28"/>
          <w:lang w:eastAsia="en-US" w:bidi="ar-SA"/>
        </w:rPr>
        <w:t xml:space="preserve"> </w:t>
      </w:r>
      <w:proofErr w:type="spellStart"/>
      <w:r w:rsidRPr="008A090A">
        <w:rPr>
          <w:rFonts w:eastAsiaTheme="minorHAnsi"/>
          <w:color w:val="00000A"/>
          <w:kern w:val="0"/>
          <w:sz w:val="24"/>
          <w:szCs w:val="28"/>
          <w:lang w:eastAsia="en-US" w:bidi="ar-SA"/>
        </w:rPr>
        <w:t>and</w:t>
      </w:r>
      <w:proofErr w:type="spellEnd"/>
      <w:r w:rsidRPr="008A090A">
        <w:rPr>
          <w:rFonts w:eastAsiaTheme="minorHAnsi"/>
          <w:color w:val="00000A"/>
          <w:kern w:val="0"/>
          <w:sz w:val="24"/>
          <w:szCs w:val="28"/>
          <w:lang w:eastAsia="en-US" w:bidi="ar-SA"/>
        </w:rPr>
        <w:t xml:space="preserve"> </w:t>
      </w:r>
      <w:proofErr w:type="spellStart"/>
      <w:r w:rsidRPr="008A090A">
        <w:rPr>
          <w:rFonts w:eastAsiaTheme="minorHAnsi"/>
          <w:color w:val="00000A"/>
          <w:kern w:val="0"/>
          <w:sz w:val="24"/>
          <w:szCs w:val="28"/>
          <w:lang w:eastAsia="en-US" w:bidi="ar-SA"/>
        </w:rPr>
        <w:t>Behavioral</w:t>
      </w:r>
      <w:proofErr w:type="spellEnd"/>
      <w:r w:rsidRPr="008A090A">
        <w:rPr>
          <w:rFonts w:eastAsiaTheme="minorHAnsi"/>
          <w:color w:val="00000A"/>
          <w:kern w:val="0"/>
          <w:sz w:val="24"/>
          <w:szCs w:val="28"/>
          <w:lang w:eastAsia="en-US" w:bidi="ar-SA"/>
        </w:rPr>
        <w:t xml:space="preserve"> </w:t>
      </w:r>
      <w:proofErr w:type="spellStart"/>
      <w:r w:rsidRPr="008A090A">
        <w:rPr>
          <w:rFonts w:eastAsiaTheme="minorHAnsi"/>
          <w:color w:val="00000A"/>
          <w:kern w:val="0"/>
          <w:sz w:val="24"/>
          <w:szCs w:val="28"/>
          <w:lang w:eastAsia="en-US" w:bidi="ar-SA"/>
        </w:rPr>
        <w:t>Sciences</w:t>
      </w:r>
      <w:proofErr w:type="spellEnd"/>
      <w:r w:rsidRPr="008A090A">
        <w:rPr>
          <w:rFonts w:eastAsiaTheme="minorHAnsi"/>
          <w:color w:val="00000A"/>
          <w:kern w:val="0"/>
          <w:sz w:val="24"/>
          <w:szCs w:val="28"/>
          <w:lang w:eastAsia="en-US" w:bidi="ar-SA"/>
        </w:rPr>
        <w:t xml:space="preserve"> 228 PP. 169 – 174. </w:t>
      </w:r>
      <w:proofErr w:type="spellStart"/>
      <w:r w:rsidRPr="008A090A">
        <w:rPr>
          <w:rFonts w:eastAsiaTheme="minorHAnsi"/>
          <w:color w:val="00000A"/>
          <w:kern w:val="0"/>
          <w:sz w:val="24"/>
          <w:szCs w:val="28"/>
          <w:lang w:eastAsia="en-US" w:bidi="ar-SA"/>
        </w:rPr>
        <w:t>doi</w:t>
      </w:r>
      <w:proofErr w:type="spellEnd"/>
      <w:r w:rsidRPr="008A090A">
        <w:rPr>
          <w:rFonts w:eastAsiaTheme="minorHAnsi"/>
          <w:color w:val="00000A"/>
          <w:kern w:val="0"/>
          <w:sz w:val="24"/>
          <w:szCs w:val="28"/>
          <w:lang w:eastAsia="en-US" w:bidi="ar-SA"/>
        </w:rPr>
        <w:t>: 10.1016/j.sbspro.2016.07.025</w:t>
      </w:r>
    </w:p>
    <w:p w:rsidR="00396750" w:rsidRPr="008A090A" w:rsidRDefault="008A090A" w:rsidP="008A090A">
      <w:pPr>
        <w:pStyle w:val="western"/>
        <w:numPr>
          <w:ilvl w:val="0"/>
          <w:numId w:val="1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rFonts w:eastAsiaTheme="minorHAnsi"/>
          <w:b/>
          <w:color w:val="00000A"/>
          <w:kern w:val="0"/>
          <w:sz w:val="22"/>
          <w:szCs w:val="24"/>
          <w:lang w:val="en-US" w:eastAsia="en-US" w:bidi="ar-SA"/>
        </w:rPr>
      </w:pPr>
      <w:proofErr w:type="spellStart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Ummi</w:t>
      </w:r>
      <w:proofErr w:type="spellEnd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 </w:t>
      </w:r>
      <w:proofErr w:type="spellStart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Salwa</w:t>
      </w:r>
      <w:proofErr w:type="spellEnd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 Ahmad </w:t>
      </w:r>
      <w:proofErr w:type="spellStart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Bustamam</w:t>
      </w:r>
      <w:proofErr w:type="spellEnd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, </w:t>
      </w:r>
      <w:proofErr w:type="spellStart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Mahazan</w:t>
      </w:r>
      <w:proofErr w:type="spellEnd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 Abdul </w:t>
      </w:r>
      <w:proofErr w:type="spellStart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Mutalib</w:t>
      </w:r>
      <w:proofErr w:type="spellEnd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, </w:t>
      </w:r>
      <w:proofErr w:type="spellStart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Siti</w:t>
      </w:r>
      <w:proofErr w:type="spellEnd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 </w:t>
      </w:r>
      <w:proofErr w:type="spellStart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Nubailah</w:t>
      </w:r>
      <w:proofErr w:type="spellEnd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 </w:t>
      </w:r>
      <w:proofErr w:type="spellStart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Mohd</w:t>
      </w:r>
      <w:proofErr w:type="spellEnd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 </w:t>
      </w:r>
      <w:proofErr w:type="spellStart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>Yusof</w:t>
      </w:r>
      <w:proofErr w:type="spellEnd"/>
      <w:r w:rsidRPr="008A090A">
        <w:rPr>
          <w:rFonts w:eastAsiaTheme="minorHAnsi"/>
          <w:kern w:val="0"/>
          <w:sz w:val="24"/>
          <w:szCs w:val="28"/>
          <w:lang w:val="en-US" w:eastAsia="en-US" w:bidi="ar-SA"/>
        </w:rPr>
        <w:t xml:space="preserve"> Graduate employability through entrepreneurship: A case study at USIM //Procedia - Social and Behavioral Sciences 211 ( 2015 ) PP 1117 – 1121 </w:t>
      </w:r>
    </w:p>
    <w:sectPr w:rsidR="00396750" w:rsidRPr="008A090A" w:rsidSect="008A090A">
      <w:pgSz w:w="11906" w:h="16838"/>
      <w:pgMar w:top="1418" w:right="1418" w:bottom="1418" w:left="1418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975D7D"/>
    <w:multiLevelType w:val="multilevel"/>
    <w:tmpl w:val="781428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AF165C9"/>
    <w:multiLevelType w:val="multilevel"/>
    <w:tmpl w:val="4E6E6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396750"/>
    <w:rsid w:val="00396750"/>
    <w:rsid w:val="008A090A"/>
    <w:rsid w:val="0093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F6CAE1-34ED-4CAA-B349-19C425CC0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qFormat/>
    <w:pPr>
      <w:keepNext/>
      <w:keepLines/>
      <w:spacing w:before="40" w:line="360" w:lineRule="auto"/>
      <w:ind w:left="420"/>
      <w:jc w:val="both"/>
      <w:outlineLvl w:val="2"/>
    </w:pPr>
    <w:rPr>
      <w:rFonts w:ascii="Times New Roman" w:eastAsiaTheme="majorEastAsia" w:hAnsi="Times New Roman" w:cstheme="majorBidi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No Spacing"/>
    <w:qFormat/>
    <w:rPr>
      <w:color w:val="00000A"/>
      <w:szCs w:val="21"/>
    </w:rPr>
  </w:style>
  <w:style w:type="paragraph" w:customStyle="1" w:styleId="a9">
    <w:name w:val="Содержимое таблицы"/>
    <w:basedOn w:val="a"/>
    <w:qFormat/>
    <w:pPr>
      <w:suppressLineNumbers/>
    </w:pPr>
  </w:style>
  <w:style w:type="paragraph" w:customStyle="1" w:styleId="western">
    <w:name w:val="western"/>
    <w:basedOn w:val="a"/>
    <w:qFormat/>
    <w:pPr>
      <w:spacing w:before="280" w:after="142"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ciencedirect.com/science/journal/09596526/238/supp/C" TargetMode="External"/><Relationship Id="rId5" Type="http://schemas.openxmlformats.org/officeDocument/2006/relationships/hyperlink" Target="mailto:evf@f5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1638</Words>
  <Characters>9343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Воронова Полина Александровна</cp:lastModifiedBy>
  <cp:revision>4</cp:revision>
  <dcterms:created xsi:type="dcterms:W3CDTF">2020-07-07T19:54:00Z</dcterms:created>
  <dcterms:modified xsi:type="dcterms:W3CDTF">2020-10-03T13:08:00Z</dcterms:modified>
  <dc:language>ru-RU</dc:language>
</cp:coreProperties>
</file>